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jc w:val="center"/>
        <w:textAlignment w:val="auto"/>
        <w:rPr>
          <w:rFonts w:hint="eastAsia" w:ascii="微软雅黑" w:hAnsi="微软雅黑" w:eastAsia="微软雅黑" w:cs="微软雅黑"/>
          <w:b/>
          <w:bCs w:val="0"/>
          <w:i w:val="0"/>
          <w:iCs w:val="0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 w:val="0"/>
          <w:i w:val="0"/>
          <w:iCs w:val="0"/>
          <w:kern w:val="2"/>
          <w:sz w:val="44"/>
          <w:szCs w:val="44"/>
          <w:lang w:val="en-US" w:eastAsia="zh-CN" w:bidi="ar-SA"/>
        </w:rPr>
        <w:t>非财务经理的财务管理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微软雅黑" w:hAnsi="微软雅黑" w:eastAsia="微软雅黑" w:cs="微软雅黑"/>
          <w:b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iCs w:val="0"/>
          <w:sz w:val="24"/>
          <w:szCs w:val="24"/>
        </w:rPr>
        <w:t>课程背景：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480" w:firstLineChars="200"/>
        <w:jc w:val="both"/>
        <w:textAlignment w:val="auto"/>
        <w:outlineLvl w:val="9"/>
        <w:rPr>
          <w:rFonts w:hint="eastAsia" w:ascii="微软雅黑" w:hAnsi="微软雅黑" w:eastAsia="微软雅黑" w:cs="微软雅黑"/>
          <w:b/>
          <w:i w:val="0"/>
          <w:i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财务与会计是商业上的通用语言，职业经理无论一位产品设计经理，还是新任命的班组长，没有掌握关键的财务概念，都没有办法把你的工作推向深入，我们专业的财务培训师以艺术的手法把生活，工作中的财务问题融合为一体，本课程将通过七个模块从不同的方面生动讲解财务知识，并配以丰富的案例和图解，帮助职业经理全面理解会计报表，财务诊断，预算管理，成本控制，信用风险，内部控制和税收策划等方面的必备知识，使职业经理以愉快的方式来理解深奥，枯燥的财务知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20" w:lineRule="exact"/>
        <w:textAlignment w:val="auto"/>
        <w:rPr>
          <w:rFonts w:hint="eastAsia" w:ascii="微软雅黑" w:hAnsi="微软雅黑" w:eastAsia="微软雅黑" w:cs="微软雅黑"/>
          <w:b/>
          <w:i w:val="0"/>
          <w:i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iCs w:val="0"/>
          <w:sz w:val="24"/>
          <w:szCs w:val="24"/>
        </w:rPr>
        <w:t>课程亮点：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专门针对非财务人员，培训方式深入浅出，通俗易懂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紧密结合企业的实际运作，使培训生动、实用、有效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跳出财务来看财务，将企业管理思路贯穿始终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专门设计的财务管理工具和方法可直接应用于实际工作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firstLine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培训收益：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  <w:t xml:space="preserve">全面掌握三大财务报表，读懂财务报告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  <w:t xml:space="preserve">非财务人员与财务部门在统一的平台上达成有效沟通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  <w:t>建立起清晰的成本控制意识与内部控制方法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  <w:t xml:space="preserve">强化财务管理意识，提高企业运作效率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60" w:afterAutospacing="0" w:line="520" w:lineRule="exact"/>
        <w:ind w:left="420" w:lef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  <w:t>运用财务思维解读公司运作使得各部门主管达成共识，理解公司财务政策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  <w:t>强化现金流意识，提高资金运作效率。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5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none"/>
        </w:rPr>
        <w:t>理解你的工作如何影响企业的资产、负债和权益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firstLine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参加对象：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00" w:beforeAutospacing="0" w:after="100" w:afterAutospacing="0" w:line="520" w:lineRule="exact"/>
        <w:ind w:left="0" w:firstLine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制造业，商业企业的董事长，金融机构及其他服务行业的总经理，副总经理，企业中高级管理人员，以及各个部门的骨干员工。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firstLine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第一单元——财务报表认知与解读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资产负债表</w:t>
      </w:r>
    </w:p>
    <w:p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资产负债表提供的信息</w:t>
      </w:r>
    </w:p>
    <w:p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资产负债表的结构和形式</w:t>
      </w:r>
    </w:p>
    <w:p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资产负载表的阅读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损益表（利润表）</w:t>
      </w:r>
    </w:p>
    <w:p>
      <w:pPr>
        <w:pStyle w:val="8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利润表提供的信息</w:t>
      </w:r>
    </w:p>
    <w:p>
      <w:pPr>
        <w:pStyle w:val="8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利润表的机构和形式</w:t>
      </w:r>
    </w:p>
    <w:p>
      <w:pPr>
        <w:pStyle w:val="8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净利润的计算过程</w:t>
      </w:r>
    </w:p>
    <w:p>
      <w:pPr>
        <w:pStyle w:val="8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损益表的阅读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现金流量表</w:t>
      </w:r>
    </w:p>
    <w:p>
      <w:pPr>
        <w:pStyle w:val="8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现金流量表提供的信息</w:t>
      </w:r>
    </w:p>
    <w:p>
      <w:pPr>
        <w:pStyle w:val="8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现金流量表基本结构</w:t>
      </w:r>
    </w:p>
    <w:p>
      <w:pPr>
        <w:pStyle w:val="8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现金流量表的阅读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三大主标之间的互相关系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总结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firstLine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第二单元</w:t>
      </w:r>
      <w:r>
        <w:rPr>
          <w:rFonts w:hint="eastAsia" w:ascii="微软雅黑" w:hAnsi="微软雅黑" w:cs="微软雅黑"/>
          <w:b/>
          <w:bCs/>
          <w:sz w:val="24"/>
          <w:szCs w:val="24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财务分析的意义和内容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24"/>
          <w:szCs w:val="24"/>
        </w:rPr>
        <w:t>财务分析的方法</w:t>
      </w:r>
    </w:p>
    <w:p>
      <w:pPr>
        <w:pStyle w:val="8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比较分析法</w:t>
      </w:r>
    </w:p>
    <w:p>
      <w:pPr>
        <w:pStyle w:val="8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比率分析法</w:t>
      </w:r>
    </w:p>
    <w:p>
      <w:pPr>
        <w:pStyle w:val="8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因素分析法</w:t>
      </w:r>
    </w:p>
    <w:p>
      <w:pPr>
        <w:pStyle w:val="8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财务分析的局限性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sz w:val="24"/>
          <w:szCs w:val="24"/>
        </w:rPr>
        <w:t>偿债能力分析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sz w:val="24"/>
          <w:szCs w:val="24"/>
        </w:rPr>
        <w:t>营运能力分析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sz w:val="24"/>
          <w:szCs w:val="24"/>
        </w:rPr>
        <w:t>盈利能力分析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5、</w:t>
      </w:r>
      <w:r>
        <w:rPr>
          <w:rFonts w:hint="eastAsia" w:ascii="微软雅黑" w:hAnsi="微软雅黑" w:eastAsia="微软雅黑" w:cs="微软雅黑"/>
          <w:sz w:val="24"/>
          <w:szCs w:val="24"/>
        </w:rPr>
        <w:t>现金流量分析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6、</w:t>
      </w:r>
      <w:r>
        <w:rPr>
          <w:rFonts w:hint="eastAsia" w:ascii="微软雅黑" w:hAnsi="微软雅黑" w:eastAsia="微软雅黑" w:cs="微软雅黑"/>
          <w:sz w:val="24"/>
          <w:szCs w:val="24"/>
        </w:rPr>
        <w:t>上市公司特殊财务分析指标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firstLine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第三单元——内控与销售内控</w:t>
      </w:r>
    </w:p>
    <w:p>
      <w:pPr>
        <w:pStyle w:val="8"/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企业内部控制理论的演变与发展</w:t>
      </w:r>
    </w:p>
    <w:p>
      <w:pPr>
        <w:pStyle w:val="8"/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风险评估</w:t>
      </w:r>
    </w:p>
    <w:p>
      <w:pPr>
        <w:pStyle w:val="8"/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企业风险管理框架</w:t>
      </w:r>
    </w:p>
    <w:p>
      <w:pPr>
        <w:pStyle w:val="8"/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我国内部控制规范体系</w:t>
      </w:r>
    </w:p>
    <w:p>
      <w:pPr>
        <w:pStyle w:val="8"/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内部控制规范的框架体系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firstLine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第四单元——成本控制与核算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24"/>
          <w:szCs w:val="24"/>
        </w:rPr>
        <w:t>研发成本管理与控制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sz w:val="24"/>
          <w:szCs w:val="24"/>
        </w:rPr>
        <w:t>业务发展中的财务影响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sz w:val="24"/>
          <w:szCs w:val="24"/>
        </w:rPr>
        <w:t>十步提高企业投资回报率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sz w:val="24"/>
          <w:szCs w:val="24"/>
        </w:rPr>
        <w:t>销售部门相关方面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5、</w:t>
      </w:r>
      <w:r>
        <w:rPr>
          <w:rFonts w:hint="eastAsia" w:ascii="微软雅黑" w:hAnsi="微软雅黑" w:eastAsia="微软雅黑" w:cs="微软雅黑"/>
          <w:sz w:val="24"/>
          <w:szCs w:val="24"/>
        </w:rPr>
        <w:t>消费费用预算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6、</w:t>
      </w:r>
      <w:r>
        <w:rPr>
          <w:rFonts w:hint="eastAsia" w:ascii="微软雅黑" w:hAnsi="微软雅黑" w:eastAsia="微软雅黑" w:cs="微软雅黑"/>
          <w:sz w:val="24"/>
          <w:szCs w:val="24"/>
        </w:rPr>
        <w:t>收费收入预算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firstLine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第五单元——预算管理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24"/>
          <w:szCs w:val="24"/>
        </w:rPr>
        <w:t>预算编制的基本程序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sz w:val="24"/>
          <w:szCs w:val="24"/>
        </w:rPr>
        <w:t>预算分类和构成内容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sz w:val="24"/>
          <w:szCs w:val="24"/>
        </w:rPr>
        <w:t>预算编制的基本方法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sz w:val="24"/>
          <w:szCs w:val="24"/>
        </w:rPr>
        <w:t>预算编制实例分析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5、</w:t>
      </w:r>
      <w:r>
        <w:rPr>
          <w:rFonts w:hint="eastAsia" w:ascii="微软雅黑" w:hAnsi="微软雅黑" w:eastAsia="微软雅黑" w:cs="微软雅黑"/>
          <w:sz w:val="24"/>
          <w:szCs w:val="24"/>
        </w:rPr>
        <w:t>成本费用预算编制实例分析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6、</w:t>
      </w:r>
      <w:r>
        <w:rPr>
          <w:rFonts w:hint="eastAsia" w:ascii="微软雅黑" w:hAnsi="微软雅黑" w:eastAsia="微软雅黑" w:cs="微软雅黑"/>
          <w:sz w:val="24"/>
          <w:szCs w:val="24"/>
        </w:rPr>
        <w:t>预算执行过程中的差异分析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firstLine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第六单元——相关法规知识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24"/>
          <w:szCs w:val="24"/>
        </w:rPr>
        <w:t>税费计算与申报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sz w:val="24"/>
          <w:szCs w:val="24"/>
        </w:rPr>
        <w:t>发票知识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sz w:val="24"/>
          <w:szCs w:val="24"/>
        </w:rPr>
        <w:t>公司法解读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sz w:val="24"/>
          <w:szCs w:val="24"/>
        </w:rPr>
        <w:t>合同法相关知识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5、</w:t>
      </w:r>
      <w:r>
        <w:rPr>
          <w:rFonts w:hint="eastAsia" w:ascii="微软雅黑" w:hAnsi="微软雅黑" w:eastAsia="微软雅黑" w:cs="微软雅黑"/>
          <w:sz w:val="24"/>
          <w:szCs w:val="24"/>
        </w:rPr>
        <w:t>外汇管理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firstLine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第七单元——师生互动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学员提问，讲师解惑</w:t>
      </w:r>
    </w:p>
    <w:bookmarkEnd w:id="0"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4EE3B8"/>
    <w:multiLevelType w:val="singleLevel"/>
    <w:tmpl w:val="B74EE3B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C2A6654C"/>
    <w:multiLevelType w:val="singleLevel"/>
    <w:tmpl w:val="C2A6654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CBFCB04B"/>
    <w:multiLevelType w:val="singleLevel"/>
    <w:tmpl w:val="CBFCB04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0CD88871"/>
    <w:multiLevelType w:val="singleLevel"/>
    <w:tmpl w:val="0CD8887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0CF4B962"/>
    <w:multiLevelType w:val="singleLevel"/>
    <w:tmpl w:val="0CF4B96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5965E580"/>
    <w:multiLevelType w:val="singleLevel"/>
    <w:tmpl w:val="5965E58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6BD37E74"/>
    <w:multiLevelType w:val="singleLevel"/>
    <w:tmpl w:val="6BD37E7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74DED"/>
    <w:rsid w:val="002475C0"/>
    <w:rsid w:val="00323B43"/>
    <w:rsid w:val="003D37D8"/>
    <w:rsid w:val="00426133"/>
    <w:rsid w:val="004358AB"/>
    <w:rsid w:val="0051720D"/>
    <w:rsid w:val="00560194"/>
    <w:rsid w:val="008B7726"/>
    <w:rsid w:val="00C81D4A"/>
    <w:rsid w:val="00D31D50"/>
    <w:rsid w:val="00E1748F"/>
    <w:rsid w:val="00ED0221"/>
    <w:rsid w:val="0BCD2B60"/>
    <w:rsid w:val="1E1F2086"/>
    <w:rsid w:val="4CA96949"/>
    <w:rsid w:val="6D00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1 Char"/>
    <w:basedOn w:val="6"/>
    <w:link w:val="2"/>
    <w:qFormat/>
    <w:uiPriority w:val="9"/>
    <w:rPr>
      <w:rFonts w:ascii="Tahoma" w:hAnsi="Tahoma"/>
      <w:b/>
      <w:bCs/>
      <w:kern w:val="44"/>
      <w:sz w:val="44"/>
      <w:szCs w:val="4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265</Words>
  <Characters>1516</Characters>
  <Lines>12</Lines>
  <Paragraphs>3</Paragraphs>
  <TotalTime>5</TotalTime>
  <ScaleCrop>false</ScaleCrop>
  <LinksUpToDate>false</LinksUpToDate>
  <CharactersWithSpaces>1778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百家经纪-郑景涛 13827493403</cp:lastModifiedBy>
  <dcterms:modified xsi:type="dcterms:W3CDTF">2020-06-11T06:29:54Z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